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35" w:rsidRDefault="00E50835"/>
    <w:p w:rsidR="003C2109" w:rsidRDefault="003C2109"/>
    <w:p w:rsidR="003C2109" w:rsidRDefault="003C2109">
      <w:r>
        <w:rPr>
          <w:noProof/>
        </w:rPr>
        <w:drawing>
          <wp:inline distT="0" distB="0" distL="0" distR="0">
            <wp:extent cx="6119284" cy="733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44448" cy="736441"/>
                    </a:xfrm>
                    <a:prstGeom prst="rect">
                      <a:avLst/>
                    </a:prstGeom>
                    <a:noFill/>
                    <a:ln w="9525">
                      <a:noFill/>
                      <a:miter lim="800000"/>
                      <a:headEnd/>
                      <a:tailEnd/>
                    </a:ln>
                  </pic:spPr>
                </pic:pic>
              </a:graphicData>
            </a:graphic>
          </wp:inline>
        </w:drawing>
      </w:r>
    </w:p>
    <w:p w:rsidR="003C2109" w:rsidRDefault="003C2109" w:rsidP="003C2109">
      <w:pPr>
        <w:pStyle w:val="Default"/>
        <w:spacing w:line="480" w:lineRule="auto"/>
        <w:rPr>
          <w:sz w:val="23"/>
          <w:szCs w:val="23"/>
        </w:rPr>
      </w:pPr>
      <w:r>
        <w:rPr>
          <w:b/>
          <w:bCs/>
          <w:sz w:val="23"/>
          <w:szCs w:val="23"/>
        </w:rPr>
        <w:t xml:space="preserve">Lamar University – M.Ed. in Educational Technology Leadership </w:t>
      </w:r>
    </w:p>
    <w:p w:rsidR="003C2109" w:rsidRDefault="003C2109" w:rsidP="003C2109">
      <w:pPr>
        <w:spacing w:line="480" w:lineRule="auto"/>
        <w:rPr>
          <w:b/>
          <w:bCs/>
          <w:sz w:val="23"/>
          <w:szCs w:val="23"/>
        </w:rPr>
      </w:pPr>
      <w:r>
        <w:rPr>
          <w:b/>
          <w:bCs/>
          <w:sz w:val="23"/>
          <w:szCs w:val="23"/>
        </w:rPr>
        <w:t>Reflections of ITSE Standards</w:t>
      </w:r>
    </w:p>
    <w:tbl>
      <w:tblPr>
        <w:tblStyle w:val="TableGrid"/>
        <w:tblW w:w="0" w:type="auto"/>
        <w:tblLook w:val="04A0"/>
      </w:tblPr>
      <w:tblGrid>
        <w:gridCol w:w="3192"/>
        <w:gridCol w:w="3192"/>
        <w:gridCol w:w="3192"/>
      </w:tblGrid>
      <w:tr w:rsidR="003C2109" w:rsidTr="003C2109">
        <w:tc>
          <w:tcPr>
            <w:tcW w:w="3192" w:type="dxa"/>
          </w:tcPr>
          <w:p w:rsidR="003C2109" w:rsidRDefault="003C2109" w:rsidP="003C2109">
            <w:pPr>
              <w:spacing w:line="480" w:lineRule="auto"/>
              <w:rPr>
                <w:b/>
                <w:bCs/>
                <w:sz w:val="23"/>
                <w:szCs w:val="23"/>
              </w:rPr>
            </w:pPr>
            <w:r>
              <w:rPr>
                <w:b/>
                <w:bCs/>
                <w:sz w:val="23"/>
                <w:szCs w:val="23"/>
              </w:rPr>
              <w:t>Course Number:</w:t>
            </w:r>
          </w:p>
        </w:tc>
        <w:tc>
          <w:tcPr>
            <w:tcW w:w="3192" w:type="dxa"/>
          </w:tcPr>
          <w:p w:rsidR="003C2109" w:rsidRDefault="003C2109" w:rsidP="003C2109">
            <w:pPr>
              <w:spacing w:line="480" w:lineRule="auto"/>
              <w:rPr>
                <w:b/>
                <w:bCs/>
                <w:sz w:val="23"/>
                <w:szCs w:val="23"/>
              </w:rPr>
            </w:pPr>
            <w:r>
              <w:rPr>
                <w:b/>
                <w:bCs/>
                <w:sz w:val="23"/>
                <w:szCs w:val="23"/>
              </w:rPr>
              <w:t>Course Name:</w:t>
            </w:r>
          </w:p>
        </w:tc>
        <w:tc>
          <w:tcPr>
            <w:tcW w:w="3192" w:type="dxa"/>
          </w:tcPr>
          <w:p w:rsidR="003C2109" w:rsidRDefault="003C2109" w:rsidP="003C2109">
            <w:pPr>
              <w:spacing w:line="480" w:lineRule="auto"/>
              <w:rPr>
                <w:b/>
                <w:bCs/>
                <w:sz w:val="23"/>
                <w:szCs w:val="23"/>
              </w:rPr>
            </w:pPr>
            <w:r>
              <w:rPr>
                <w:b/>
                <w:bCs/>
                <w:sz w:val="23"/>
                <w:szCs w:val="23"/>
              </w:rPr>
              <w:t>ITSE Standard</w:t>
            </w:r>
          </w:p>
        </w:tc>
      </w:tr>
      <w:tr w:rsidR="003C2109" w:rsidTr="003C2109">
        <w:tc>
          <w:tcPr>
            <w:tcW w:w="3192" w:type="dxa"/>
          </w:tcPr>
          <w:p w:rsidR="003C2109" w:rsidRDefault="003C2109" w:rsidP="003C2109">
            <w:pPr>
              <w:spacing w:line="480" w:lineRule="auto"/>
              <w:rPr>
                <w:b/>
                <w:bCs/>
                <w:sz w:val="23"/>
                <w:szCs w:val="23"/>
              </w:rPr>
            </w:pPr>
            <w:r>
              <w:rPr>
                <w:b/>
                <w:bCs/>
                <w:sz w:val="23"/>
                <w:szCs w:val="23"/>
              </w:rPr>
              <w:t>EDLD 5370 ET5398</w:t>
            </w:r>
          </w:p>
        </w:tc>
        <w:tc>
          <w:tcPr>
            <w:tcW w:w="3192" w:type="dxa"/>
          </w:tcPr>
          <w:p w:rsidR="003C2109" w:rsidRDefault="003C2109" w:rsidP="003C2109">
            <w:pPr>
              <w:rPr>
                <w:b/>
                <w:bCs/>
                <w:sz w:val="23"/>
                <w:szCs w:val="23"/>
              </w:rPr>
            </w:pPr>
            <w:r>
              <w:rPr>
                <w:b/>
                <w:bCs/>
                <w:sz w:val="23"/>
                <w:szCs w:val="23"/>
              </w:rPr>
              <w:t>Educational Technology Leadership Internship</w:t>
            </w:r>
          </w:p>
        </w:tc>
        <w:tc>
          <w:tcPr>
            <w:tcW w:w="3192" w:type="dxa"/>
          </w:tcPr>
          <w:p w:rsidR="003C2109" w:rsidRDefault="003C2109" w:rsidP="00531611">
            <w:pPr>
              <w:rPr>
                <w:b/>
                <w:bCs/>
                <w:sz w:val="23"/>
                <w:szCs w:val="23"/>
              </w:rPr>
            </w:pPr>
            <w:r>
              <w:rPr>
                <w:b/>
                <w:bCs/>
                <w:sz w:val="23"/>
                <w:szCs w:val="23"/>
              </w:rPr>
              <w:t xml:space="preserve">Standard </w:t>
            </w:r>
            <w:r w:rsidR="00531611">
              <w:rPr>
                <w:b/>
                <w:bCs/>
                <w:sz w:val="23"/>
                <w:szCs w:val="23"/>
              </w:rPr>
              <w:t>VI</w:t>
            </w:r>
            <w:r>
              <w:rPr>
                <w:b/>
                <w:bCs/>
                <w:sz w:val="23"/>
                <w:szCs w:val="23"/>
              </w:rPr>
              <w:t xml:space="preserve">I – </w:t>
            </w:r>
            <w:r w:rsidR="00531611" w:rsidRPr="00531611">
              <w:rPr>
                <w:rFonts w:cstheme="minorHAnsi"/>
                <w:b/>
              </w:rPr>
              <w:t>Procedures, Policies, Planning, and Budgeting for Technology Environments</w:t>
            </w:r>
          </w:p>
        </w:tc>
      </w:tr>
    </w:tbl>
    <w:p w:rsidR="003C2109" w:rsidRDefault="003C2109" w:rsidP="003C2109">
      <w:pPr>
        <w:spacing w:line="480" w:lineRule="auto"/>
        <w:rPr>
          <w:b/>
          <w:bCs/>
          <w:sz w:val="23"/>
          <w:szCs w:val="23"/>
        </w:rPr>
      </w:pPr>
    </w:p>
    <w:tbl>
      <w:tblPr>
        <w:tblStyle w:val="TableGrid"/>
        <w:tblW w:w="0" w:type="auto"/>
        <w:tblLook w:val="04A0"/>
      </w:tblPr>
      <w:tblGrid>
        <w:gridCol w:w="2972"/>
        <w:gridCol w:w="6604"/>
      </w:tblGrid>
      <w:tr w:rsidR="003C2109" w:rsidTr="003C2109">
        <w:tc>
          <w:tcPr>
            <w:tcW w:w="2808" w:type="dxa"/>
          </w:tcPr>
          <w:p w:rsidR="003C2109" w:rsidRPr="003C2109" w:rsidRDefault="003C2109" w:rsidP="003C2109">
            <w:pPr>
              <w:pStyle w:val="Default"/>
              <w:rPr>
                <w:rFonts w:asciiTheme="minorHAnsi" w:hAnsiTheme="minorHAnsi" w:cstheme="minorHAnsi"/>
                <w:b/>
              </w:rPr>
            </w:pPr>
            <w:r>
              <w:rPr>
                <w:rFonts w:asciiTheme="minorHAnsi" w:hAnsiTheme="minorHAnsi" w:cstheme="minorHAnsi"/>
                <w:b/>
              </w:rPr>
              <w:t>Desc</w:t>
            </w:r>
            <w:r w:rsidRPr="003C2109">
              <w:rPr>
                <w:rFonts w:asciiTheme="minorHAnsi" w:hAnsiTheme="minorHAnsi" w:cstheme="minorHAnsi"/>
                <w:b/>
              </w:rPr>
              <w:t>ription of the Assignment/Performance</w:t>
            </w:r>
          </w:p>
          <w:p w:rsidR="003C2109" w:rsidRDefault="003C2109" w:rsidP="003C2109">
            <w:pPr>
              <w:pStyle w:val="Default"/>
              <w:rPr>
                <w:b/>
                <w:bCs/>
                <w:sz w:val="23"/>
                <w:szCs w:val="23"/>
              </w:rPr>
            </w:pPr>
            <w:r w:rsidRPr="003C2109">
              <w:rPr>
                <w:rFonts w:asciiTheme="minorHAnsi" w:hAnsiTheme="minorHAnsi" w:cstheme="minorHAnsi"/>
                <w:b/>
              </w:rPr>
              <w:t>Tasks</w:t>
            </w:r>
          </w:p>
        </w:tc>
        <w:tc>
          <w:tcPr>
            <w:tcW w:w="6768" w:type="dxa"/>
          </w:tcPr>
          <w:p w:rsidR="003C2109" w:rsidRPr="003C2109" w:rsidRDefault="003C2109" w:rsidP="003C2109">
            <w:pPr>
              <w:pStyle w:val="Default"/>
              <w:rPr>
                <w:rFonts w:asciiTheme="minorHAnsi" w:hAnsiTheme="minorHAnsi" w:cstheme="minorHAnsi"/>
                <w:b/>
                <w:sz w:val="22"/>
                <w:szCs w:val="22"/>
              </w:rPr>
            </w:pPr>
            <w:r w:rsidRPr="003C2109">
              <w:rPr>
                <w:rFonts w:asciiTheme="minorHAnsi" w:hAnsiTheme="minorHAnsi" w:cstheme="minorHAnsi"/>
                <w:b/>
                <w:sz w:val="22"/>
                <w:szCs w:val="22"/>
              </w:rPr>
              <w:t>ITSE Standard:</w:t>
            </w:r>
          </w:p>
          <w:p w:rsidR="003C2109" w:rsidRDefault="003C2109" w:rsidP="003C2109">
            <w:pPr>
              <w:pStyle w:val="Default"/>
              <w:rPr>
                <w:b/>
                <w:bCs/>
                <w:sz w:val="23"/>
                <w:szCs w:val="23"/>
              </w:rPr>
            </w:pPr>
            <w:r w:rsidRPr="003C2109">
              <w:rPr>
                <w:rFonts w:asciiTheme="minorHAnsi" w:hAnsiTheme="minorHAnsi" w:cstheme="minorHAnsi"/>
                <w:b/>
                <w:sz w:val="22"/>
                <w:szCs w:val="22"/>
              </w:rPr>
              <w:t>Educational Technology facilitators demonstrate an in-depth understanding of technology operations and concepts.</w:t>
            </w:r>
          </w:p>
        </w:tc>
      </w:tr>
      <w:tr w:rsidR="003C2109" w:rsidTr="003C2109">
        <w:tc>
          <w:tcPr>
            <w:tcW w:w="2808" w:type="dxa"/>
          </w:tcPr>
          <w:p w:rsidR="007C0338" w:rsidRPr="005A458A" w:rsidRDefault="007C0338" w:rsidP="007C0338">
            <w:pPr>
              <w:ind w:left="162"/>
            </w:pP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7C0338" w:rsidRPr="005A458A" w:rsidRDefault="007C0338" w:rsidP="007C0338">
            <w:pPr>
              <w:ind w:left="162"/>
              <w:rPr>
                <w:b/>
                <w:bCs/>
                <w:sz w:val="20"/>
                <w:szCs w:val="20"/>
              </w:rPr>
            </w:pPr>
            <w:r w:rsidRPr="005A458A">
              <w:rPr>
                <w:b/>
                <w:bCs/>
                <w:sz w:val="20"/>
                <w:szCs w:val="20"/>
              </w:rPr>
              <w:t>Self –Assessment</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 xml:space="preserve">2. Critically reflect upon the </w:t>
            </w:r>
            <w:r w:rsidRPr="005A458A">
              <w:rPr>
                <w:bCs/>
                <w:sz w:val="20"/>
                <w:szCs w:val="20"/>
              </w:rPr>
              <w:lastRenderedPageBreak/>
              <w:t>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7C0338" w:rsidRPr="005A458A" w:rsidRDefault="007C0338" w:rsidP="007C0338">
            <w:pPr>
              <w:ind w:left="162"/>
              <w:rPr>
                <w:bCs/>
                <w:sz w:val="20"/>
                <w:szCs w:val="20"/>
              </w:rPr>
            </w:pPr>
          </w:p>
          <w:p w:rsidR="007C0338" w:rsidRPr="005A458A" w:rsidRDefault="007C0338" w:rsidP="007C0338">
            <w:pPr>
              <w:ind w:left="162"/>
              <w:rPr>
                <w:b/>
                <w:bCs/>
                <w:sz w:val="20"/>
                <w:szCs w:val="20"/>
              </w:rPr>
            </w:pPr>
            <w:r w:rsidRPr="005A458A">
              <w:rPr>
                <w:b/>
                <w:bCs/>
                <w:sz w:val="20"/>
                <w:szCs w:val="20"/>
              </w:rPr>
              <w:t>Learn as a Learner</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7C0338" w:rsidRPr="005A458A" w:rsidRDefault="007C0338" w:rsidP="007C0338">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Lifelong Learning Skills</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Additional Criteria</w:t>
            </w:r>
          </w:p>
          <w:p w:rsidR="007C0338" w:rsidRPr="005A458A" w:rsidRDefault="007C0338" w:rsidP="007C0338">
            <w:pPr>
              <w:ind w:left="342" w:hanging="180"/>
              <w:rPr>
                <w:bCs/>
                <w:sz w:val="20"/>
                <w:szCs w:val="20"/>
              </w:rPr>
            </w:pPr>
            <w:r w:rsidRPr="005A458A">
              <w:rPr>
                <w:bCs/>
                <w:sz w:val="20"/>
                <w:szCs w:val="20"/>
              </w:rPr>
              <w:t xml:space="preserve">1. Content posted to e-Portfolio </w:t>
            </w:r>
            <w:r w:rsidRPr="005A458A">
              <w:rPr>
                <w:bCs/>
                <w:sz w:val="20"/>
                <w:szCs w:val="20"/>
              </w:rPr>
              <w:lastRenderedPageBreak/>
              <w:t>wiki/blog/Google site</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7C0338" w:rsidRPr="007C0338" w:rsidRDefault="007C0338" w:rsidP="007C0338">
            <w:pPr>
              <w:spacing w:before="100" w:beforeAutospacing="1" w:after="100" w:afterAutospacing="1"/>
              <w:outlineLvl w:val="2"/>
              <w:rPr>
                <w:rFonts w:ascii="Arial" w:eastAsia="Times New Roman" w:hAnsi="Arial" w:cs="Arial"/>
                <w:b/>
                <w:bCs/>
                <w:sz w:val="27"/>
                <w:szCs w:val="27"/>
              </w:rPr>
            </w:pPr>
          </w:p>
          <w:p w:rsidR="003C2109" w:rsidRDefault="003C2109" w:rsidP="003C2109">
            <w:pPr>
              <w:spacing w:line="480" w:lineRule="auto"/>
              <w:rPr>
                <w:b/>
                <w:bCs/>
                <w:sz w:val="23"/>
                <w:szCs w:val="23"/>
              </w:rPr>
            </w:pPr>
          </w:p>
        </w:tc>
        <w:tc>
          <w:tcPr>
            <w:tcW w:w="6768" w:type="dxa"/>
          </w:tcPr>
          <w:p w:rsidR="003C2109" w:rsidRDefault="003C2109" w:rsidP="003C2109">
            <w:pPr>
              <w:pStyle w:val="Default"/>
            </w:pPr>
          </w:p>
          <w:p w:rsidR="00531611" w:rsidRPr="00914A1B" w:rsidRDefault="00531611" w:rsidP="00531611">
            <w:pPr>
              <w:spacing w:line="480" w:lineRule="auto"/>
              <w:rPr>
                <w:rFonts w:ascii="Arial" w:hAnsi="Arial" w:cs="Arial"/>
              </w:rPr>
            </w:pPr>
            <w:r w:rsidRPr="00280206">
              <w:rPr>
                <w:rFonts w:ascii="Arial" w:hAnsi="Arial" w:cs="Arial"/>
                <w:u w:val="single"/>
              </w:rPr>
              <w:t>Self Assessment</w:t>
            </w:r>
            <w:r>
              <w:rPr>
                <w:rFonts w:ascii="Arial" w:hAnsi="Arial" w:cs="Arial"/>
              </w:rPr>
              <w:t xml:space="preserve">:  </w:t>
            </w:r>
            <w:r w:rsidRPr="006A0BB9">
              <w:rPr>
                <w:rFonts w:ascii="Arial" w:hAnsi="Arial" w:cs="Arial"/>
              </w:rPr>
              <w:t xml:space="preserve">I am responsible for completing the campus </w:t>
            </w:r>
            <w:proofErr w:type="spellStart"/>
            <w:r w:rsidRPr="006A0BB9">
              <w:rPr>
                <w:rFonts w:ascii="Arial" w:hAnsi="Arial" w:cs="Arial"/>
              </w:rPr>
              <w:t>STaR</w:t>
            </w:r>
            <w:proofErr w:type="spellEnd"/>
            <w:r w:rsidRPr="006A0BB9">
              <w:rPr>
                <w:rFonts w:ascii="Arial" w:hAnsi="Arial" w:cs="Arial"/>
              </w:rPr>
              <w:t xml:space="preserve"> chart containing current and future usage technology goals.  </w:t>
            </w:r>
            <w:r>
              <w:rPr>
                <w:rFonts w:ascii="Arial" w:hAnsi="Arial" w:cs="Arial"/>
              </w:rPr>
              <w:t xml:space="preserve">According to the </w:t>
            </w:r>
            <w:proofErr w:type="spellStart"/>
            <w:r>
              <w:rPr>
                <w:rFonts w:ascii="Arial" w:hAnsi="Arial" w:cs="Arial"/>
              </w:rPr>
              <w:t>STaR</w:t>
            </w:r>
            <w:proofErr w:type="spellEnd"/>
            <w:r>
              <w:rPr>
                <w:rFonts w:ascii="Arial" w:hAnsi="Arial" w:cs="Arial"/>
              </w:rPr>
              <w:t xml:space="preserve"> Chart site, t</w:t>
            </w:r>
            <w:r w:rsidRPr="006A0BB9">
              <w:rPr>
                <w:rFonts w:ascii="Arial" w:hAnsi="Arial" w:cs="Arial"/>
                <w:color w:val="231F20"/>
              </w:rPr>
              <w:t xml:space="preserve">he Texas Teacher </w:t>
            </w:r>
            <w:proofErr w:type="spellStart"/>
            <w:r w:rsidRPr="006A0BB9">
              <w:rPr>
                <w:rFonts w:ascii="Arial" w:hAnsi="Arial" w:cs="Arial"/>
                <w:color w:val="231F20"/>
              </w:rPr>
              <w:t>STaR</w:t>
            </w:r>
            <w:proofErr w:type="spellEnd"/>
            <w:r w:rsidRPr="006A0BB9">
              <w:rPr>
                <w:rFonts w:ascii="Arial" w:hAnsi="Arial" w:cs="Arial"/>
                <w:color w:val="231F20"/>
              </w:rPr>
              <w:t xml:space="preserve"> Chart was designed with </w:t>
            </w:r>
            <w:r>
              <w:rPr>
                <w:rFonts w:ascii="Arial" w:hAnsi="Arial" w:cs="Arial"/>
                <w:color w:val="231F20"/>
              </w:rPr>
              <w:t>teachers in mind. The</w:t>
            </w:r>
            <w:r w:rsidRPr="006A0BB9">
              <w:rPr>
                <w:rFonts w:ascii="Arial" w:hAnsi="Arial" w:cs="Arial"/>
                <w:color w:val="231F20"/>
              </w:rPr>
              <w:t xml:space="preserve"> version of the chart has been updated to align</w:t>
            </w:r>
            <w:r>
              <w:rPr>
                <w:rFonts w:ascii="Arial" w:hAnsi="Arial" w:cs="Arial"/>
                <w:color w:val="231F20"/>
              </w:rPr>
              <w:t xml:space="preserve"> </w:t>
            </w:r>
            <w:r w:rsidRPr="006A0BB9">
              <w:rPr>
                <w:rFonts w:ascii="Arial" w:hAnsi="Arial" w:cs="Arial"/>
                <w:color w:val="231F20"/>
              </w:rPr>
              <w:t xml:space="preserve">with the new </w:t>
            </w:r>
            <w:r w:rsidRPr="006A0BB9">
              <w:rPr>
                <w:rFonts w:ascii="Arial" w:hAnsi="Arial" w:cs="Arial"/>
                <w:i/>
                <w:iCs/>
                <w:color w:val="231F20"/>
              </w:rPr>
              <w:t>Texas Long-Range Plan for Technology, 2006-2020</w:t>
            </w:r>
            <w:r w:rsidRPr="00914A1B">
              <w:rPr>
                <w:rFonts w:ascii="Arial" w:hAnsi="Arial" w:cs="Arial"/>
                <w:color w:val="231F20"/>
              </w:rPr>
              <w:t xml:space="preserve">.  </w:t>
            </w:r>
            <w:r w:rsidRPr="00914A1B">
              <w:rPr>
                <w:rFonts w:ascii="Arial" w:hAnsi="Arial" w:cs="Arial"/>
              </w:rPr>
              <w:t>“The only way to move forward effectively is to combine what they know about technology with what we know and require about education” (</w:t>
            </w:r>
            <w:proofErr w:type="spellStart"/>
            <w:r w:rsidRPr="00914A1B">
              <w:rPr>
                <w:rFonts w:ascii="Arial" w:hAnsi="Arial" w:cs="Arial"/>
              </w:rPr>
              <w:t>Edutopia</w:t>
            </w:r>
            <w:proofErr w:type="spellEnd"/>
            <w:r w:rsidRPr="00914A1B">
              <w:rPr>
                <w:rFonts w:ascii="Arial" w:hAnsi="Arial" w:cs="Arial"/>
              </w:rPr>
              <w:t>, 2005, p. 4).</w:t>
            </w:r>
          </w:p>
          <w:p w:rsidR="00531611" w:rsidRPr="00914A1B" w:rsidRDefault="00531611" w:rsidP="00531611">
            <w:pPr>
              <w:autoSpaceDE w:val="0"/>
              <w:autoSpaceDN w:val="0"/>
              <w:adjustRightInd w:val="0"/>
              <w:spacing w:line="480" w:lineRule="auto"/>
              <w:rPr>
                <w:rFonts w:ascii="Arial" w:hAnsi="Arial" w:cs="Arial"/>
                <w:color w:val="231F20"/>
              </w:rPr>
            </w:pPr>
          </w:p>
          <w:p w:rsidR="00531611" w:rsidRDefault="00531611" w:rsidP="00531611">
            <w:pPr>
              <w:autoSpaceDE w:val="0"/>
              <w:autoSpaceDN w:val="0"/>
              <w:adjustRightInd w:val="0"/>
              <w:spacing w:line="480" w:lineRule="auto"/>
              <w:rPr>
                <w:rFonts w:ascii="Arial" w:hAnsi="Arial" w:cs="Arial"/>
                <w:color w:val="231F20"/>
              </w:rPr>
            </w:pPr>
          </w:p>
          <w:p w:rsidR="00531611" w:rsidRPr="00914A1B" w:rsidRDefault="00531611" w:rsidP="00531611">
            <w:pPr>
              <w:spacing w:line="480" w:lineRule="auto"/>
              <w:ind w:left="72"/>
              <w:rPr>
                <w:rFonts w:ascii="Arial" w:hAnsi="Arial" w:cs="Arial"/>
              </w:rPr>
            </w:pPr>
            <w:r w:rsidRPr="00F20D81">
              <w:rPr>
                <w:rFonts w:ascii="Arial" w:hAnsi="Arial" w:cs="Arial"/>
                <w:color w:val="231F20"/>
                <w:u w:val="single"/>
              </w:rPr>
              <w:lastRenderedPageBreak/>
              <w:t>Learn as a Learner</w:t>
            </w:r>
            <w:r>
              <w:rPr>
                <w:rFonts w:ascii="Arial" w:hAnsi="Arial" w:cs="Arial"/>
                <w:color w:val="231F20"/>
              </w:rPr>
              <w:t>:</w:t>
            </w:r>
            <w:r w:rsidRPr="006A0BB9">
              <w:rPr>
                <w:rFonts w:ascii="Arial" w:hAnsi="Arial" w:cs="Arial"/>
                <w:color w:val="231F20"/>
              </w:rPr>
              <w:t xml:space="preserve"> Its purpose is to assist all classroom teachers in</w:t>
            </w:r>
            <w:r>
              <w:rPr>
                <w:rFonts w:ascii="Arial" w:hAnsi="Arial" w:cs="Arial"/>
                <w:color w:val="231F20"/>
              </w:rPr>
              <w:t xml:space="preserve"> </w:t>
            </w:r>
            <w:r w:rsidRPr="006A0BB9">
              <w:rPr>
                <w:rFonts w:ascii="Arial" w:hAnsi="Arial" w:cs="Arial"/>
                <w:color w:val="231F20"/>
              </w:rPr>
              <w:t>assessing needs and setting goals for the use of technology in the classroom to support student achievement. This</w:t>
            </w:r>
            <w:r>
              <w:rPr>
                <w:rFonts w:ascii="Arial" w:hAnsi="Arial" w:cs="Arial"/>
                <w:color w:val="231F20"/>
              </w:rPr>
              <w:t xml:space="preserve"> tool is useful in fulfi</w:t>
            </w:r>
            <w:r w:rsidRPr="006A0BB9">
              <w:rPr>
                <w:rFonts w:ascii="Arial" w:hAnsi="Arial" w:cs="Arial"/>
                <w:color w:val="231F20"/>
              </w:rPr>
              <w:t xml:space="preserve">lling the requirements in </w:t>
            </w:r>
            <w:r w:rsidRPr="006A0BB9">
              <w:rPr>
                <w:rFonts w:ascii="Arial" w:hAnsi="Arial" w:cs="Arial"/>
                <w:i/>
                <w:iCs/>
                <w:color w:val="231F20"/>
              </w:rPr>
              <w:t xml:space="preserve">No Child Left Behind, Title II, Part D </w:t>
            </w:r>
            <w:r w:rsidRPr="006A0BB9">
              <w:rPr>
                <w:rFonts w:ascii="Arial" w:hAnsi="Arial" w:cs="Arial"/>
                <w:color w:val="231F20"/>
              </w:rPr>
              <w:t>that all teachers should be</w:t>
            </w:r>
            <w:r>
              <w:rPr>
                <w:rFonts w:ascii="Arial" w:hAnsi="Arial" w:cs="Arial"/>
                <w:color w:val="231F20"/>
              </w:rPr>
              <w:t xml:space="preserve"> </w:t>
            </w:r>
            <w:r w:rsidRPr="006A0BB9">
              <w:rPr>
                <w:rFonts w:ascii="Arial" w:hAnsi="Arial" w:cs="Arial"/>
                <w:color w:val="231F20"/>
              </w:rPr>
              <w:t>technology literate and integrate technology into content areas across the curriculum. The legislation also requires</w:t>
            </w:r>
            <w:r>
              <w:rPr>
                <w:rFonts w:ascii="Arial" w:hAnsi="Arial" w:cs="Arial"/>
                <w:color w:val="231F20"/>
              </w:rPr>
              <w:t xml:space="preserve"> </w:t>
            </w:r>
            <w:r w:rsidRPr="006A0BB9">
              <w:rPr>
                <w:rFonts w:ascii="Arial" w:hAnsi="Arial" w:cs="Arial"/>
                <w:color w:val="231F20"/>
              </w:rPr>
              <w:t>that all students should be technology literate by the time they leave the eighth grade.</w:t>
            </w:r>
            <w:r>
              <w:rPr>
                <w:rFonts w:ascii="Arial" w:hAnsi="Arial" w:cs="Arial"/>
                <w:color w:val="231F20"/>
              </w:rPr>
              <w:t xml:space="preserve">  </w:t>
            </w:r>
            <w:r w:rsidRPr="006A0BB9">
              <w:rPr>
                <w:rFonts w:ascii="Arial" w:hAnsi="Arial" w:cs="Arial"/>
                <w:color w:val="231F20"/>
              </w:rPr>
              <w:t xml:space="preserve">The chart focuses on the four areas of the new long range plan: </w:t>
            </w:r>
            <w:r w:rsidRPr="006A0BB9">
              <w:rPr>
                <w:rFonts w:ascii="Arial" w:hAnsi="Arial" w:cs="Arial"/>
                <w:i/>
                <w:iCs/>
                <w:color w:val="231F20"/>
              </w:rPr>
              <w:t>Teaching and Learning; Educator Preparation and</w:t>
            </w:r>
            <w:r>
              <w:rPr>
                <w:rFonts w:ascii="Arial" w:hAnsi="Arial" w:cs="Arial"/>
                <w:i/>
                <w:iCs/>
                <w:color w:val="231F20"/>
              </w:rPr>
              <w:t xml:space="preserve"> </w:t>
            </w:r>
            <w:r w:rsidRPr="006A0BB9">
              <w:rPr>
                <w:rFonts w:ascii="Arial" w:hAnsi="Arial" w:cs="Arial"/>
                <w:i/>
                <w:iCs/>
                <w:color w:val="231F20"/>
              </w:rPr>
              <w:t>Development; Leadership, Administration and Instructional Support; and Infrastructure for Technology</w:t>
            </w:r>
            <w:r w:rsidRPr="006A0BB9">
              <w:rPr>
                <w:rFonts w:ascii="Arial" w:hAnsi="Arial" w:cs="Arial"/>
                <w:color w:val="231F20"/>
              </w:rPr>
              <w:t xml:space="preserve">. </w:t>
            </w:r>
            <w:r w:rsidRPr="00C161B2">
              <w:rPr>
                <w:rFonts w:ascii="Arial" w:hAnsi="Arial" w:cs="Arial"/>
              </w:rPr>
              <w:t xml:space="preserve"> </w:t>
            </w:r>
            <w:r w:rsidRPr="00914A1B">
              <w:rPr>
                <w:rFonts w:ascii="Arial" w:hAnsi="Arial" w:cs="Arial"/>
              </w:rPr>
              <w:t xml:space="preserve">“The role of teachers will be to guide students in using the new tools for academically rigorous investigations and presentations.  Which tools students choose to create with won’t matter.  Teachers will be able to let students with specific learning styles use the tools that address their particular needs” </w:t>
            </w:r>
            <w:r w:rsidRPr="00914A1B">
              <w:rPr>
                <w:rStyle w:val="ft"/>
                <w:rFonts w:ascii="Arial" w:hAnsi="Arial" w:cs="Arial"/>
              </w:rPr>
              <w:t>(</w:t>
            </w:r>
            <w:r w:rsidRPr="00914A1B">
              <w:rPr>
                <w:rFonts w:ascii="Arial" w:hAnsi="Arial" w:cs="Arial"/>
              </w:rPr>
              <w:t>Solomon, G., &amp; Schrum, L., 2007, p. 14).</w:t>
            </w:r>
          </w:p>
          <w:p w:rsidR="00531611" w:rsidRPr="00914A1B" w:rsidRDefault="00531611" w:rsidP="00531611">
            <w:pPr>
              <w:autoSpaceDE w:val="0"/>
              <w:autoSpaceDN w:val="0"/>
              <w:adjustRightInd w:val="0"/>
              <w:spacing w:line="480" w:lineRule="auto"/>
              <w:rPr>
                <w:rFonts w:ascii="Arial" w:hAnsi="Arial" w:cs="Arial"/>
                <w:color w:val="231F20"/>
              </w:rPr>
            </w:pPr>
          </w:p>
          <w:p w:rsidR="00531611" w:rsidRDefault="00531611" w:rsidP="00531611">
            <w:pPr>
              <w:autoSpaceDE w:val="0"/>
              <w:autoSpaceDN w:val="0"/>
              <w:adjustRightInd w:val="0"/>
              <w:spacing w:line="480" w:lineRule="auto"/>
              <w:rPr>
                <w:rFonts w:ascii="Arial" w:hAnsi="Arial" w:cs="Arial"/>
                <w:color w:val="231F20"/>
              </w:rPr>
            </w:pPr>
          </w:p>
          <w:p w:rsidR="00531611" w:rsidRPr="00914A1B" w:rsidRDefault="00531611" w:rsidP="00531611">
            <w:pPr>
              <w:spacing w:line="480" w:lineRule="auto"/>
              <w:rPr>
                <w:rStyle w:val="ft"/>
                <w:rFonts w:ascii="Arial" w:hAnsi="Arial" w:cs="Arial"/>
              </w:rPr>
            </w:pPr>
            <w:r w:rsidRPr="00F20D81">
              <w:rPr>
                <w:rFonts w:ascii="Arial" w:hAnsi="Arial" w:cs="Arial"/>
                <w:color w:val="231F20"/>
                <w:u w:val="single"/>
              </w:rPr>
              <w:t>Lifelong Learning Skills</w:t>
            </w:r>
            <w:r>
              <w:rPr>
                <w:rFonts w:ascii="Arial" w:hAnsi="Arial" w:cs="Arial"/>
                <w:color w:val="231F20"/>
              </w:rPr>
              <w:t xml:space="preserve">:  </w:t>
            </w:r>
            <w:r w:rsidRPr="006A0BB9">
              <w:rPr>
                <w:rFonts w:ascii="Arial" w:hAnsi="Arial" w:cs="Arial"/>
                <w:color w:val="231F20"/>
              </w:rPr>
              <w:t>In each</w:t>
            </w:r>
            <w:r>
              <w:rPr>
                <w:rFonts w:ascii="Arial" w:hAnsi="Arial" w:cs="Arial"/>
                <w:color w:val="231F20"/>
              </w:rPr>
              <w:t xml:space="preserve"> </w:t>
            </w:r>
            <w:r w:rsidRPr="006A0BB9">
              <w:rPr>
                <w:rFonts w:ascii="Arial" w:hAnsi="Arial" w:cs="Arial"/>
                <w:color w:val="231F20"/>
              </w:rPr>
              <w:t>area, there are levels of progress ranging from Early Tech to Target Tech. The goal for all Texas teachers is to reach</w:t>
            </w:r>
            <w:r>
              <w:rPr>
                <w:rFonts w:ascii="Arial" w:hAnsi="Arial" w:cs="Arial"/>
                <w:color w:val="231F20"/>
              </w:rPr>
              <w:t xml:space="preserve"> </w:t>
            </w:r>
            <w:r w:rsidRPr="006A0BB9">
              <w:rPr>
                <w:rFonts w:ascii="Arial" w:hAnsi="Arial" w:cs="Arial"/>
                <w:color w:val="231F20"/>
              </w:rPr>
              <w:t xml:space="preserve">the </w:t>
            </w:r>
            <w:r w:rsidRPr="006A0BB9">
              <w:rPr>
                <w:rFonts w:ascii="Arial" w:hAnsi="Arial" w:cs="Arial"/>
                <w:i/>
                <w:iCs/>
                <w:color w:val="231F20"/>
              </w:rPr>
              <w:t xml:space="preserve">Target Tech </w:t>
            </w:r>
            <w:r w:rsidRPr="006A0BB9">
              <w:rPr>
                <w:rFonts w:ascii="Arial" w:hAnsi="Arial" w:cs="Arial"/>
                <w:color w:val="231F20"/>
              </w:rPr>
              <w:t xml:space="preserve">level of the </w:t>
            </w:r>
            <w:proofErr w:type="spellStart"/>
            <w:r w:rsidRPr="006A0BB9">
              <w:rPr>
                <w:rFonts w:ascii="Arial" w:hAnsi="Arial" w:cs="Arial"/>
                <w:color w:val="231F20"/>
              </w:rPr>
              <w:t>STaR</w:t>
            </w:r>
            <w:proofErr w:type="spellEnd"/>
            <w:r w:rsidRPr="006A0BB9">
              <w:rPr>
                <w:rFonts w:ascii="Arial" w:hAnsi="Arial" w:cs="Arial"/>
                <w:color w:val="231F20"/>
              </w:rPr>
              <w:t xml:space="preserve"> Chart. The data from the </w:t>
            </w:r>
            <w:r>
              <w:rPr>
                <w:rFonts w:ascii="Arial" w:hAnsi="Arial" w:cs="Arial"/>
                <w:color w:val="231F20"/>
              </w:rPr>
              <w:t>fi</w:t>
            </w:r>
            <w:r w:rsidRPr="006A0BB9">
              <w:rPr>
                <w:rFonts w:ascii="Arial" w:hAnsi="Arial" w:cs="Arial"/>
                <w:color w:val="231F20"/>
              </w:rPr>
              <w:t>rst two areas feeds automatically into the electronic</w:t>
            </w:r>
            <w:r>
              <w:rPr>
                <w:rFonts w:ascii="Arial" w:hAnsi="Arial" w:cs="Arial"/>
                <w:color w:val="231F20"/>
              </w:rPr>
              <w:t xml:space="preserve"> </w:t>
            </w:r>
            <w:r w:rsidRPr="006A0BB9">
              <w:rPr>
                <w:rFonts w:ascii="Arial" w:hAnsi="Arial" w:cs="Arial"/>
                <w:color w:val="231F20"/>
              </w:rPr>
              <w:t xml:space="preserve">version of the Texas Campus </w:t>
            </w:r>
            <w:proofErr w:type="spellStart"/>
            <w:r w:rsidRPr="006A0BB9">
              <w:rPr>
                <w:rFonts w:ascii="Arial" w:hAnsi="Arial" w:cs="Arial"/>
                <w:color w:val="231F20"/>
              </w:rPr>
              <w:t>STaR</w:t>
            </w:r>
            <w:proofErr w:type="spellEnd"/>
            <w:r w:rsidRPr="006A0BB9">
              <w:rPr>
                <w:rFonts w:ascii="Arial" w:hAnsi="Arial" w:cs="Arial"/>
                <w:color w:val="231F20"/>
              </w:rPr>
              <w:t xml:space="preserve"> Chart. This feature provides valuable information to the campus principal</w:t>
            </w:r>
            <w:r>
              <w:rPr>
                <w:rFonts w:ascii="Arial" w:hAnsi="Arial" w:cs="Arial"/>
                <w:color w:val="231F20"/>
              </w:rPr>
              <w:t xml:space="preserve">s </w:t>
            </w:r>
            <w:r w:rsidRPr="006A0BB9">
              <w:rPr>
                <w:rFonts w:ascii="Arial" w:hAnsi="Arial" w:cs="Arial"/>
                <w:color w:val="231F20"/>
              </w:rPr>
              <w:lastRenderedPageBreak/>
              <w:t>when completing the campus chart. The data from the last two areas will be available to campus administrators,</w:t>
            </w:r>
            <w:r>
              <w:rPr>
                <w:rFonts w:ascii="Arial" w:hAnsi="Arial" w:cs="Arial"/>
                <w:color w:val="231F20"/>
              </w:rPr>
              <w:t xml:space="preserve"> </w:t>
            </w:r>
            <w:r w:rsidRPr="006A0BB9">
              <w:rPr>
                <w:rFonts w:ascii="Arial" w:hAnsi="Arial" w:cs="Arial"/>
                <w:color w:val="231F20"/>
              </w:rPr>
              <w:t>but aggregated at the state level and reported separately. Again, the Target Tech level is the goal</w:t>
            </w:r>
            <w:r>
              <w:rPr>
                <w:rFonts w:ascii="Arial" w:hAnsi="Arial" w:cs="Arial"/>
                <w:color w:val="231F20"/>
              </w:rPr>
              <w:t xml:space="preserve"> for all campuses.  I also assist with and provide professional development for campus staff on the </w:t>
            </w:r>
            <w:proofErr w:type="spellStart"/>
            <w:r>
              <w:rPr>
                <w:rFonts w:ascii="Arial" w:hAnsi="Arial" w:cs="Arial"/>
                <w:color w:val="231F20"/>
              </w:rPr>
              <w:t>STaR</w:t>
            </w:r>
            <w:proofErr w:type="spellEnd"/>
            <w:r>
              <w:rPr>
                <w:rFonts w:ascii="Arial" w:hAnsi="Arial" w:cs="Arial"/>
                <w:color w:val="231F20"/>
              </w:rPr>
              <w:t xml:space="preserve"> Charts.  I assist all teachers on the completion of the </w:t>
            </w:r>
            <w:proofErr w:type="spellStart"/>
            <w:r>
              <w:rPr>
                <w:rFonts w:ascii="Arial" w:hAnsi="Arial" w:cs="Arial"/>
                <w:color w:val="231F20"/>
              </w:rPr>
              <w:t>STaR</w:t>
            </w:r>
            <w:proofErr w:type="spellEnd"/>
            <w:r>
              <w:rPr>
                <w:rFonts w:ascii="Arial" w:hAnsi="Arial" w:cs="Arial"/>
                <w:color w:val="231F20"/>
              </w:rPr>
              <w:t xml:space="preserve"> Charts each year</w:t>
            </w:r>
            <w:r w:rsidRPr="00914A1B">
              <w:rPr>
                <w:rFonts w:ascii="Arial" w:hAnsi="Arial" w:cs="Arial"/>
                <w:color w:val="231F20"/>
              </w:rPr>
              <w:t xml:space="preserve">.  </w:t>
            </w:r>
            <w:r w:rsidRPr="00914A1B">
              <w:rPr>
                <w:rFonts w:ascii="Arial" w:hAnsi="Arial" w:cs="Arial"/>
              </w:rPr>
              <w:t>“By infusing student technology standards into state and local curricula and developing accompanying curriculum resources, technology facilitators and leaders create both a mandate for technology integration and the structural support teachers need to implement that mandate” (</w:t>
            </w:r>
            <w:r w:rsidRPr="00914A1B">
              <w:rPr>
                <w:rStyle w:val="ft"/>
                <w:rFonts w:ascii="Arial" w:hAnsi="Arial" w:cs="Arial"/>
              </w:rPr>
              <w:t>Williamson, J. &amp; Redish, R., 2009, p. 58).</w:t>
            </w:r>
            <w:r>
              <w:rPr>
                <w:rStyle w:val="ft"/>
                <w:rFonts w:ascii="Arial" w:hAnsi="Arial" w:cs="Arial"/>
              </w:rPr>
              <w:t xml:space="preserve">  This assists the teachers in having a better understanding of the importance of trying to integrate technology into this curriculum to enhance and engage the learning process.</w:t>
            </w:r>
          </w:p>
          <w:p w:rsidR="00531611" w:rsidRDefault="00531611" w:rsidP="00531611">
            <w:pPr>
              <w:rPr>
                <w:rFonts w:ascii="Arial" w:hAnsi="Arial" w:cs="Arial"/>
              </w:rPr>
            </w:pPr>
          </w:p>
          <w:p w:rsidR="00531611" w:rsidRPr="00595D43" w:rsidRDefault="00531611" w:rsidP="00531611">
            <w:pPr>
              <w:rPr>
                <w:rFonts w:ascii="Arial" w:hAnsi="Arial" w:cs="Arial"/>
              </w:rPr>
            </w:pPr>
          </w:p>
          <w:p w:rsidR="00531611" w:rsidRDefault="00531611" w:rsidP="00531611">
            <w:pPr>
              <w:autoSpaceDE w:val="0"/>
              <w:autoSpaceDN w:val="0"/>
              <w:adjustRightInd w:val="0"/>
              <w:rPr>
                <w:rFonts w:ascii="Arial" w:hAnsi="Arial" w:cs="Arial"/>
                <w:color w:val="231F20"/>
              </w:rPr>
            </w:pPr>
          </w:p>
          <w:p w:rsidR="00531611" w:rsidRDefault="00531611" w:rsidP="00531611">
            <w:pPr>
              <w:autoSpaceDE w:val="0"/>
              <w:autoSpaceDN w:val="0"/>
              <w:adjustRightInd w:val="0"/>
              <w:rPr>
                <w:rFonts w:ascii="Arial" w:hAnsi="Arial" w:cs="Arial"/>
                <w:color w:val="231F20"/>
              </w:rPr>
            </w:pPr>
          </w:p>
          <w:p w:rsidR="00531611" w:rsidRDefault="00531611" w:rsidP="00531611">
            <w:pPr>
              <w:ind w:left="55"/>
              <w:jc w:val="center"/>
              <w:rPr>
                <w:rFonts w:ascii="Arial" w:hAnsi="Arial" w:cs="Arial"/>
              </w:rPr>
            </w:pPr>
            <w:r>
              <w:rPr>
                <w:rFonts w:ascii="Arial" w:hAnsi="Arial" w:cs="Arial"/>
              </w:rPr>
              <w:t>References</w:t>
            </w:r>
          </w:p>
          <w:p w:rsidR="00531611" w:rsidRDefault="00531611" w:rsidP="00531611">
            <w:pPr>
              <w:ind w:left="55"/>
              <w:jc w:val="center"/>
              <w:rPr>
                <w:rFonts w:ascii="Arial" w:hAnsi="Arial" w:cs="Arial"/>
              </w:rPr>
            </w:pPr>
          </w:p>
          <w:p w:rsidR="00531611" w:rsidRDefault="00531611" w:rsidP="00531611">
            <w:pPr>
              <w:rPr>
                <w:rFonts w:ascii="Arial" w:hAnsi="Arial" w:cs="Arial"/>
                <w:i/>
              </w:rPr>
            </w:pPr>
            <w:r>
              <w:rPr>
                <w:rFonts w:ascii="Arial" w:hAnsi="Arial" w:cs="Arial"/>
              </w:rPr>
              <w:t xml:space="preserve">Prensky, M. (2005).  </w:t>
            </w:r>
            <w:r w:rsidRPr="008D140D">
              <w:rPr>
                <w:rFonts w:ascii="Arial" w:hAnsi="Arial" w:cs="Arial"/>
                <w:i/>
              </w:rPr>
              <w:t xml:space="preserve">Adopt and Adapt:  Shaping Tech for the </w:t>
            </w:r>
          </w:p>
          <w:p w:rsidR="00531611" w:rsidRDefault="00531611" w:rsidP="00531611">
            <w:pPr>
              <w:rPr>
                <w:rFonts w:ascii="Arial" w:hAnsi="Arial" w:cs="Arial"/>
                <w:i/>
              </w:rPr>
            </w:pPr>
          </w:p>
          <w:p w:rsidR="00531611" w:rsidRDefault="00531611" w:rsidP="00531611">
            <w:pPr>
              <w:rPr>
                <w:rFonts w:ascii="Arial" w:hAnsi="Arial" w:cs="Arial"/>
              </w:rPr>
            </w:pPr>
            <w:r w:rsidRPr="008D140D">
              <w:rPr>
                <w:rFonts w:ascii="Arial" w:hAnsi="Arial" w:cs="Arial"/>
                <w:i/>
              </w:rPr>
              <w:t>Classroom</w:t>
            </w:r>
            <w:r>
              <w:rPr>
                <w:rFonts w:ascii="Arial" w:hAnsi="Arial" w:cs="Arial"/>
              </w:rPr>
              <w:t xml:space="preserve">.  </w:t>
            </w:r>
            <w:proofErr w:type="spellStart"/>
            <w:r>
              <w:rPr>
                <w:rFonts w:ascii="Arial" w:hAnsi="Arial" w:cs="Arial"/>
              </w:rPr>
              <w:t>Edutopia</w:t>
            </w:r>
            <w:proofErr w:type="spellEnd"/>
            <w:r>
              <w:rPr>
                <w:rFonts w:ascii="Arial" w:hAnsi="Arial" w:cs="Arial"/>
              </w:rPr>
              <w:t xml:space="preserve">, p. 4.  </w:t>
            </w:r>
          </w:p>
          <w:p w:rsidR="00531611" w:rsidRDefault="00531611" w:rsidP="00531611">
            <w:pPr>
              <w:rPr>
                <w:rFonts w:ascii="Arial" w:hAnsi="Arial" w:cs="Arial"/>
              </w:rPr>
            </w:pPr>
          </w:p>
          <w:p w:rsidR="00531611" w:rsidRDefault="00531611" w:rsidP="00531611">
            <w:pPr>
              <w:spacing w:after="100" w:line="480" w:lineRule="auto"/>
              <w:rPr>
                <w:rFonts w:ascii="Arial" w:hAnsi="Arial" w:cs="Arial"/>
              </w:rPr>
            </w:pPr>
            <w:r w:rsidRPr="00D4354D">
              <w:rPr>
                <w:rFonts w:ascii="Arial" w:hAnsi="Arial" w:cs="Arial"/>
              </w:rPr>
              <w:t xml:space="preserve">Solomon, G., &amp; Schrum, L. (2007).  </w:t>
            </w:r>
            <w:r w:rsidRPr="00D4354D">
              <w:rPr>
                <w:rFonts w:ascii="Arial" w:hAnsi="Arial" w:cs="Arial"/>
                <w:i/>
              </w:rPr>
              <w:t xml:space="preserve">Web 2.0  New Tools, New </w:t>
            </w:r>
            <w:r>
              <w:rPr>
                <w:rFonts w:ascii="Arial" w:hAnsi="Arial" w:cs="Arial"/>
                <w:i/>
              </w:rPr>
              <w:t>Sc</w:t>
            </w:r>
            <w:r w:rsidRPr="00D4354D">
              <w:rPr>
                <w:rFonts w:ascii="Arial" w:hAnsi="Arial" w:cs="Arial"/>
                <w:i/>
              </w:rPr>
              <w:t>hools</w:t>
            </w:r>
            <w:r w:rsidRPr="00D4354D">
              <w:rPr>
                <w:rFonts w:ascii="Arial" w:hAnsi="Arial" w:cs="Arial"/>
              </w:rPr>
              <w:t xml:space="preserve">. Eugene, </w:t>
            </w:r>
            <w:r>
              <w:rPr>
                <w:rFonts w:ascii="Arial" w:hAnsi="Arial" w:cs="Arial"/>
              </w:rPr>
              <w:t xml:space="preserve"> </w:t>
            </w:r>
            <w:r w:rsidRPr="00D4354D">
              <w:rPr>
                <w:rFonts w:ascii="Arial" w:hAnsi="Arial" w:cs="Arial"/>
              </w:rPr>
              <w:t xml:space="preserve">Oregon:  ISTE, p. </w:t>
            </w:r>
            <w:r>
              <w:rPr>
                <w:rFonts w:ascii="Arial" w:hAnsi="Arial" w:cs="Arial"/>
              </w:rPr>
              <w:t>14.</w:t>
            </w:r>
            <w:r w:rsidRPr="00D4354D">
              <w:rPr>
                <w:rFonts w:ascii="Arial" w:hAnsi="Arial" w:cs="Arial"/>
              </w:rPr>
              <w:t xml:space="preserve">  </w:t>
            </w:r>
          </w:p>
          <w:p w:rsidR="00531611" w:rsidRPr="00C03DA4" w:rsidRDefault="00531611" w:rsidP="00531611">
            <w:pPr>
              <w:spacing w:after="100" w:line="480" w:lineRule="auto"/>
              <w:rPr>
                <w:rFonts w:ascii="Arial" w:eastAsia="Times New Roman" w:hAnsi="Arial" w:cs="Arial"/>
              </w:rPr>
            </w:pPr>
            <w:r w:rsidRPr="00D4354D">
              <w:rPr>
                <w:rFonts w:ascii="Arial" w:hAnsi="Arial" w:cs="Arial"/>
              </w:rPr>
              <w:t xml:space="preserve"> </w:t>
            </w:r>
            <w:r>
              <w:rPr>
                <w:rFonts w:ascii="Arial" w:hAnsi="Arial" w:cs="Arial"/>
              </w:rPr>
              <w:t>W</w:t>
            </w:r>
            <w:r w:rsidRPr="00D4354D">
              <w:rPr>
                <w:rFonts w:ascii="Arial" w:hAnsi="Arial" w:cs="Arial"/>
              </w:rPr>
              <w:t xml:space="preserve">illiamson, Jo and Redish, Traci. (2009).  </w:t>
            </w:r>
            <w:r w:rsidRPr="00D4354D">
              <w:rPr>
                <w:rFonts w:ascii="Arial" w:eastAsia="Times New Roman" w:hAnsi="Arial" w:cs="Arial"/>
              </w:rPr>
              <w:t xml:space="preserve">Williamson, J. &amp; Redish, T. (2009). Technology Facilitation and Leadership Standards: What Every K-12 Leader Should Know and Be Able </w:t>
            </w:r>
            <w:r w:rsidRPr="00D4354D">
              <w:rPr>
                <w:rFonts w:ascii="Arial" w:eastAsia="Times New Roman" w:hAnsi="Arial" w:cs="Arial"/>
              </w:rPr>
              <w:lastRenderedPageBreak/>
              <w:t>To Do. Eugene, OR: International Society for</w:t>
            </w:r>
            <w:r>
              <w:rPr>
                <w:rFonts w:ascii="Arial" w:eastAsia="Times New Roman" w:hAnsi="Arial" w:cs="Arial"/>
              </w:rPr>
              <w:t xml:space="preserve"> Technology in Education, p. 58.</w:t>
            </w:r>
          </w:p>
          <w:p w:rsidR="00531611" w:rsidRDefault="00531611" w:rsidP="00531611">
            <w:pPr>
              <w:autoSpaceDE w:val="0"/>
              <w:autoSpaceDN w:val="0"/>
              <w:adjustRightInd w:val="0"/>
              <w:rPr>
                <w:rFonts w:ascii="Arial" w:hAnsi="Arial" w:cs="Arial"/>
                <w:color w:val="231F20"/>
              </w:rPr>
            </w:pPr>
          </w:p>
          <w:p w:rsidR="00531611" w:rsidRDefault="00531611" w:rsidP="00531611">
            <w:pPr>
              <w:ind w:left="72"/>
              <w:rPr>
                <w:rFonts w:ascii="Arial" w:hAnsi="Arial" w:cs="Arial"/>
              </w:rPr>
            </w:pPr>
          </w:p>
          <w:p w:rsidR="003C2109" w:rsidRDefault="003C2109" w:rsidP="00531611">
            <w:pPr>
              <w:spacing w:after="100" w:line="480" w:lineRule="auto"/>
              <w:rPr>
                <w:b/>
                <w:bCs/>
                <w:sz w:val="23"/>
                <w:szCs w:val="23"/>
              </w:rPr>
            </w:pPr>
          </w:p>
        </w:tc>
      </w:tr>
    </w:tbl>
    <w:p w:rsidR="003C2109" w:rsidRDefault="003C2109" w:rsidP="003C2109">
      <w:pPr>
        <w:spacing w:line="480" w:lineRule="auto"/>
        <w:rPr>
          <w:b/>
          <w:bCs/>
          <w:sz w:val="23"/>
          <w:szCs w:val="23"/>
        </w:rPr>
      </w:pPr>
    </w:p>
    <w:p w:rsidR="003C2109" w:rsidRDefault="003C2109" w:rsidP="003C2109">
      <w:pPr>
        <w:spacing w:line="480" w:lineRule="auto"/>
        <w:rPr>
          <w:b/>
          <w:bCs/>
          <w:sz w:val="23"/>
          <w:szCs w:val="23"/>
        </w:rPr>
      </w:pPr>
    </w:p>
    <w:p w:rsidR="003C2109" w:rsidRDefault="003C2109" w:rsidP="003C2109">
      <w:pPr>
        <w:pStyle w:val="Default"/>
      </w:pPr>
    </w:p>
    <w:p w:rsidR="003C2109" w:rsidRDefault="003C2109" w:rsidP="003C2109">
      <w:pPr>
        <w:spacing w:line="480" w:lineRule="auto"/>
      </w:pPr>
    </w:p>
    <w:p w:rsidR="003C2109" w:rsidRDefault="003C2109"/>
    <w:sectPr w:rsidR="003C2109" w:rsidSect="00E508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C2109"/>
    <w:rsid w:val="003C2109"/>
    <w:rsid w:val="003F0032"/>
    <w:rsid w:val="00531611"/>
    <w:rsid w:val="005C700A"/>
    <w:rsid w:val="007C0338"/>
    <w:rsid w:val="00E50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835"/>
  </w:style>
  <w:style w:type="paragraph" w:styleId="Heading3">
    <w:name w:val="heading 3"/>
    <w:basedOn w:val="Normal"/>
    <w:link w:val="Heading3Char"/>
    <w:uiPriority w:val="9"/>
    <w:qFormat/>
    <w:rsid w:val="007C03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109"/>
    <w:rPr>
      <w:rFonts w:ascii="Tahoma" w:hAnsi="Tahoma" w:cs="Tahoma"/>
      <w:sz w:val="16"/>
      <w:szCs w:val="16"/>
    </w:rPr>
  </w:style>
  <w:style w:type="paragraph" w:customStyle="1" w:styleId="Default">
    <w:name w:val="Default"/>
    <w:rsid w:val="003C21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C21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C0338"/>
    <w:rPr>
      <w:rFonts w:ascii="Times New Roman" w:eastAsia="Times New Roman" w:hAnsi="Times New Roman" w:cs="Times New Roman"/>
      <w:b/>
      <w:bCs/>
      <w:sz w:val="27"/>
      <w:szCs w:val="27"/>
    </w:rPr>
  </w:style>
  <w:style w:type="paragraph" w:styleId="Footer">
    <w:name w:val="footer"/>
    <w:basedOn w:val="Normal"/>
    <w:link w:val="FooterChar"/>
    <w:uiPriority w:val="99"/>
    <w:unhideWhenUsed/>
    <w:rsid w:val="00531611"/>
    <w:pPr>
      <w:tabs>
        <w:tab w:val="center" w:pos="4680"/>
        <w:tab w:val="right" w:pos="9360"/>
      </w:tabs>
      <w:spacing w:after="0" w:line="240" w:lineRule="auto"/>
      <w:ind w:left="720"/>
    </w:pPr>
    <w:rPr>
      <w:rFonts w:ascii="Times New Roman" w:eastAsia="Calibri" w:hAnsi="Times New Roman" w:cs="Times New Roman"/>
      <w:sz w:val="24"/>
      <w:szCs w:val="24"/>
    </w:rPr>
  </w:style>
  <w:style w:type="character" w:customStyle="1" w:styleId="FooterChar">
    <w:name w:val="Footer Char"/>
    <w:basedOn w:val="DefaultParagraphFont"/>
    <w:link w:val="Footer"/>
    <w:uiPriority w:val="99"/>
    <w:rsid w:val="00531611"/>
    <w:rPr>
      <w:rFonts w:ascii="Times New Roman" w:eastAsia="Calibri" w:hAnsi="Times New Roman" w:cs="Times New Roman"/>
      <w:sz w:val="24"/>
      <w:szCs w:val="24"/>
    </w:rPr>
  </w:style>
  <w:style w:type="character" w:styleId="Hyperlink">
    <w:name w:val="Hyperlink"/>
    <w:basedOn w:val="DefaultParagraphFont"/>
    <w:uiPriority w:val="99"/>
    <w:unhideWhenUsed/>
    <w:rsid w:val="00531611"/>
    <w:rPr>
      <w:color w:val="0000FF" w:themeColor="hyperlink"/>
      <w:u w:val="single"/>
    </w:rPr>
  </w:style>
  <w:style w:type="character" w:customStyle="1" w:styleId="ft">
    <w:name w:val="ft"/>
    <w:basedOn w:val="DefaultParagraphFont"/>
    <w:rsid w:val="00531611"/>
  </w:style>
</w:styles>
</file>

<file path=word/webSettings.xml><?xml version="1.0" encoding="utf-8"?>
<w:webSettings xmlns:r="http://schemas.openxmlformats.org/officeDocument/2006/relationships" xmlns:w="http://schemas.openxmlformats.org/wordprocessingml/2006/main">
  <w:divs>
    <w:div w:id="505096184">
      <w:bodyDiv w:val="1"/>
      <w:marLeft w:val="0"/>
      <w:marRight w:val="0"/>
      <w:marTop w:val="0"/>
      <w:marBottom w:val="0"/>
      <w:divBdr>
        <w:top w:val="none" w:sz="0" w:space="0" w:color="auto"/>
        <w:left w:val="none" w:sz="0" w:space="0" w:color="auto"/>
        <w:bottom w:val="none" w:sz="0" w:space="0" w:color="auto"/>
        <w:right w:val="none" w:sz="0" w:space="0" w:color="auto"/>
      </w:divBdr>
      <w:divsChild>
        <w:div w:id="97145569">
          <w:marLeft w:val="0"/>
          <w:marRight w:val="0"/>
          <w:marTop w:val="0"/>
          <w:marBottom w:val="0"/>
          <w:divBdr>
            <w:top w:val="none" w:sz="0" w:space="0" w:color="auto"/>
            <w:left w:val="none" w:sz="0" w:space="0" w:color="auto"/>
            <w:bottom w:val="none" w:sz="0" w:space="0" w:color="auto"/>
            <w:right w:val="none" w:sz="0" w:space="0" w:color="auto"/>
          </w:divBdr>
          <w:divsChild>
            <w:div w:id="2015834776">
              <w:marLeft w:val="0"/>
              <w:marRight w:val="0"/>
              <w:marTop w:val="0"/>
              <w:marBottom w:val="0"/>
              <w:divBdr>
                <w:top w:val="none" w:sz="0" w:space="0" w:color="auto"/>
                <w:left w:val="none" w:sz="0" w:space="0" w:color="auto"/>
                <w:bottom w:val="none" w:sz="0" w:space="0" w:color="auto"/>
                <w:right w:val="none" w:sz="0" w:space="0" w:color="auto"/>
              </w:divBdr>
              <w:divsChild>
                <w:div w:id="1734506194">
                  <w:marLeft w:val="3420"/>
                  <w:marRight w:val="225"/>
                  <w:marTop w:val="0"/>
                  <w:marBottom w:val="75"/>
                  <w:divBdr>
                    <w:top w:val="none" w:sz="0" w:space="0" w:color="auto"/>
                    <w:left w:val="none" w:sz="0" w:space="0" w:color="auto"/>
                    <w:bottom w:val="none" w:sz="0" w:space="0" w:color="auto"/>
                    <w:right w:val="none" w:sz="0" w:space="0" w:color="auto"/>
                  </w:divBdr>
                  <w:divsChild>
                    <w:div w:id="1106652756">
                      <w:marLeft w:val="0"/>
                      <w:marRight w:val="0"/>
                      <w:marTop w:val="0"/>
                      <w:marBottom w:val="0"/>
                      <w:divBdr>
                        <w:top w:val="none" w:sz="0" w:space="0" w:color="auto"/>
                        <w:left w:val="none" w:sz="0" w:space="0" w:color="auto"/>
                        <w:bottom w:val="none" w:sz="0" w:space="0" w:color="auto"/>
                        <w:right w:val="none" w:sz="0" w:space="0" w:color="auto"/>
                      </w:divBdr>
                      <w:divsChild>
                        <w:div w:id="229460215">
                          <w:marLeft w:val="0"/>
                          <w:marRight w:val="0"/>
                          <w:marTop w:val="0"/>
                          <w:marBottom w:val="0"/>
                          <w:divBdr>
                            <w:top w:val="none" w:sz="0" w:space="0" w:color="auto"/>
                            <w:left w:val="none" w:sz="0" w:space="0" w:color="auto"/>
                            <w:bottom w:val="none" w:sz="0" w:space="0" w:color="auto"/>
                            <w:right w:val="none" w:sz="0" w:space="0" w:color="auto"/>
                          </w:divBdr>
                          <w:divsChild>
                            <w:div w:id="976649242">
                              <w:marLeft w:val="0"/>
                              <w:marRight w:val="0"/>
                              <w:marTop w:val="0"/>
                              <w:marBottom w:val="0"/>
                              <w:divBdr>
                                <w:top w:val="none" w:sz="0" w:space="0" w:color="auto"/>
                                <w:left w:val="none" w:sz="0" w:space="0" w:color="auto"/>
                                <w:bottom w:val="none" w:sz="0" w:space="0" w:color="auto"/>
                                <w:right w:val="none" w:sz="0" w:space="0" w:color="auto"/>
                              </w:divBdr>
                              <w:divsChild>
                                <w:div w:id="131526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870</Words>
  <Characters>4962</Characters>
  <Application>Microsoft Office Word</Application>
  <DocSecurity>0</DocSecurity>
  <Lines>41</Lines>
  <Paragraphs>11</Paragraphs>
  <ScaleCrop>false</ScaleCrop>
  <Company/>
  <LinksUpToDate>false</LinksUpToDate>
  <CharactersWithSpaces>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2012-03-24T20:30:00Z</dcterms:created>
  <dcterms:modified xsi:type="dcterms:W3CDTF">2012-03-24T20:30:00Z</dcterms:modified>
</cp:coreProperties>
</file>